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7B" w:rsidRDefault="00DB167B" w:rsidP="00DB167B">
      <w:bookmarkStart w:id="0" w:name="_GoBack"/>
      <w:bookmarkEnd w:id="0"/>
      <w:r>
        <w:t>28.11.2019/Sampo Soimakallio</w:t>
      </w:r>
    </w:p>
    <w:p w:rsidR="00DB167B" w:rsidRDefault="00DB167B" w:rsidP="00DB167B"/>
    <w:p w:rsidR="00DB167B" w:rsidRDefault="00DB167B" w:rsidP="00DB167B">
      <w:r>
        <w:t>Taustatiedot</w:t>
      </w:r>
      <w:r w:rsidRPr="00E42F76">
        <w:t xml:space="preserve"> YLE MOT </w:t>
      </w:r>
      <w:r>
        <w:t>-</w:t>
      </w:r>
      <w:r w:rsidRPr="00E42F76">
        <w:t xml:space="preserve">ohjelmassa </w:t>
      </w:r>
      <w:r>
        <w:t>esittämiini</w:t>
      </w:r>
      <w:r w:rsidRPr="00E42F76">
        <w:t xml:space="preserve"> arvio</w:t>
      </w:r>
      <w:r>
        <w:t>ihin koskien</w:t>
      </w:r>
      <w:r w:rsidRPr="00E42F76">
        <w:t xml:space="preserve"> metsänielun ko</w:t>
      </w:r>
      <w:r>
        <w:t>k</w:t>
      </w:r>
      <w:r w:rsidRPr="00E42F76">
        <w:t xml:space="preserve">oa </w:t>
      </w:r>
      <w:proofErr w:type="gramStart"/>
      <w:r w:rsidRPr="00E42F76">
        <w:t>81-82</w:t>
      </w:r>
      <w:proofErr w:type="gramEnd"/>
      <w:r w:rsidRPr="00E42F76">
        <w:t xml:space="preserve"> Mm</w:t>
      </w:r>
      <w:r w:rsidRPr="00E42F76">
        <w:rPr>
          <w:vertAlign w:val="superscript"/>
        </w:rPr>
        <w:t>3</w:t>
      </w:r>
      <w:r w:rsidRPr="00E42F76">
        <w:t xml:space="preserve"> hakkuutasolla</w:t>
      </w:r>
      <w:r>
        <w:t xml:space="preserve"> (kohta 1)</w:t>
      </w:r>
      <w:r w:rsidRPr="00E42F76">
        <w:t xml:space="preserve"> ja 38 </w:t>
      </w:r>
      <w:proofErr w:type="spellStart"/>
      <w:r w:rsidRPr="00E42F76">
        <w:t>Mt</w:t>
      </w:r>
      <w:proofErr w:type="spellEnd"/>
      <w:r w:rsidRPr="00E42F76">
        <w:t xml:space="preserve"> CO</w:t>
      </w:r>
      <w:r w:rsidRPr="00E42F76">
        <w:rPr>
          <w:vertAlign w:val="subscript"/>
        </w:rPr>
        <w:t>2</w:t>
      </w:r>
      <w:r w:rsidRPr="00E36DC1">
        <w:t>a</w:t>
      </w:r>
      <w:r w:rsidRPr="00E42F76">
        <w:rPr>
          <w:vertAlign w:val="superscript"/>
        </w:rPr>
        <w:t>-1</w:t>
      </w:r>
      <w:r>
        <w:t xml:space="preserve"> nielua vastaavaa </w:t>
      </w:r>
      <w:r w:rsidRPr="00E42F76">
        <w:t>hakkuutasoa</w:t>
      </w:r>
      <w:r>
        <w:t xml:space="preserve"> (kohta 2). Kohdassa 3 on esitetty k</w:t>
      </w:r>
      <w:r w:rsidRPr="005E1F04">
        <w:t xml:space="preserve">eskeiset Suomen </w:t>
      </w:r>
      <w:r>
        <w:t xml:space="preserve">alkuperäisen </w:t>
      </w:r>
      <w:r w:rsidRPr="005E1F04">
        <w:t>vertailutaso</w:t>
      </w:r>
      <w:r>
        <w:t>esityksen</w:t>
      </w:r>
      <w:r w:rsidRPr="005E1F04">
        <w:t xml:space="preserve"> arvioimiseksi tarvittavat taustatiedot</w:t>
      </w:r>
      <w:r>
        <w:t>, joita myös EU komissio on jäsenmaille suosituksissaan (EC 2019) ja EU komission nimittämä asiantuntijaryhmä on arvioissaan</w:t>
      </w:r>
      <w:proofErr w:type="gramStart"/>
      <w:r>
        <w:t xml:space="preserve"> (ICF et al.</w:t>
      </w:r>
      <w:proofErr w:type="gramEnd"/>
      <w:r>
        <w:t xml:space="preserve"> 2019) Suomelta pyytänyt.</w:t>
      </w:r>
    </w:p>
    <w:p w:rsidR="00DB167B" w:rsidRDefault="00DB167B" w:rsidP="00DB167B"/>
    <w:p w:rsidR="00DB167B" w:rsidRDefault="00DB167B" w:rsidP="00DB167B"/>
    <w:p w:rsidR="00DB167B" w:rsidRPr="00415610" w:rsidRDefault="00DB167B" w:rsidP="00DB167B">
      <w:pPr>
        <w:rPr>
          <w:b/>
        </w:rPr>
      </w:pPr>
      <w:r>
        <w:rPr>
          <w:b/>
        </w:rPr>
        <w:t>1</w:t>
      </w:r>
      <w:r w:rsidRPr="00415610">
        <w:rPr>
          <w:b/>
        </w:rPr>
        <w:t xml:space="preserve">) Ohjelmassa </w:t>
      </w:r>
      <w:r>
        <w:rPr>
          <w:b/>
        </w:rPr>
        <w:t>esitin arvion</w:t>
      </w:r>
      <w:r w:rsidRPr="00415610">
        <w:rPr>
          <w:b/>
        </w:rPr>
        <w:t xml:space="preserve">, että </w:t>
      </w:r>
      <w:proofErr w:type="gramStart"/>
      <w:r w:rsidRPr="00415610">
        <w:rPr>
          <w:b/>
        </w:rPr>
        <w:t>81-82</w:t>
      </w:r>
      <w:proofErr w:type="gramEnd"/>
      <w:r w:rsidRPr="00415610">
        <w:rPr>
          <w:b/>
        </w:rPr>
        <w:t xml:space="preserve"> Mm</w:t>
      </w:r>
      <w:r w:rsidRPr="00141784">
        <w:rPr>
          <w:b/>
          <w:vertAlign w:val="superscript"/>
        </w:rPr>
        <w:t>3</w:t>
      </w:r>
      <w:r w:rsidRPr="00415610">
        <w:rPr>
          <w:b/>
        </w:rPr>
        <w:t xml:space="preserve">:n hakkuilla metsänieluksi muodostuisi 15-16 </w:t>
      </w:r>
      <w:proofErr w:type="spellStart"/>
      <w:r w:rsidRPr="00415610">
        <w:rPr>
          <w:b/>
        </w:rPr>
        <w:t>Mt</w:t>
      </w:r>
      <w:proofErr w:type="spellEnd"/>
      <w:r w:rsidRPr="00415610">
        <w:rPr>
          <w:b/>
        </w:rPr>
        <w:t xml:space="preserve"> CO</w:t>
      </w:r>
      <w:r w:rsidRPr="009D7E65">
        <w:rPr>
          <w:b/>
          <w:vertAlign w:val="subscript"/>
        </w:rPr>
        <w:t>2</w:t>
      </w:r>
      <w:r w:rsidRPr="00415610">
        <w:rPr>
          <w:b/>
        </w:rPr>
        <w:t xml:space="preserve">. </w:t>
      </w:r>
    </w:p>
    <w:p w:rsidR="00DB167B" w:rsidRDefault="00DB167B" w:rsidP="00DB167B"/>
    <w:p w:rsidR="00DB167B" w:rsidRDefault="00DB167B" w:rsidP="00DB167B">
      <w:r w:rsidRPr="00192959">
        <w:rPr>
          <w:b/>
        </w:rPr>
        <w:t>Perustelu:</w:t>
      </w:r>
      <w:r>
        <w:t xml:space="preserve"> </w:t>
      </w:r>
    </w:p>
    <w:p w:rsidR="00DB167B" w:rsidRDefault="00DB167B" w:rsidP="00DB167B"/>
    <w:p w:rsidR="00DB167B" w:rsidRDefault="00DB167B" w:rsidP="00DB167B">
      <w:r>
        <w:t xml:space="preserve">Suomen alkuperäisessä joulukuussa 2018 EU komissiolle toimittamassa vertailutasolaskennassa runkopuun kasvu on kaudella </w:t>
      </w:r>
      <w:proofErr w:type="gramStart"/>
      <w:r>
        <w:t>2021-2025</w:t>
      </w:r>
      <w:proofErr w:type="gramEnd"/>
      <w:r>
        <w:t xml:space="preserve"> n. 113 Mm</w:t>
      </w:r>
      <w:r w:rsidRPr="00141784">
        <w:rPr>
          <w:vertAlign w:val="superscript"/>
        </w:rPr>
        <w:t>3</w:t>
      </w:r>
      <w:r>
        <w:t>, hakkuukertymä 83 Mm</w:t>
      </w:r>
      <w:r w:rsidRPr="00141784">
        <w:rPr>
          <w:vertAlign w:val="superscript"/>
        </w:rPr>
        <w:t>3</w:t>
      </w:r>
      <w:r>
        <w:t xml:space="preserve"> ja kokonaispoistuma 94 Mm</w:t>
      </w:r>
      <w:r w:rsidRPr="00141784">
        <w:rPr>
          <w:vertAlign w:val="superscript"/>
        </w:rPr>
        <w:t>3</w:t>
      </w:r>
      <w:r>
        <w:t xml:space="preserve"> (Lehtonen ym. 2019). </w:t>
      </w:r>
    </w:p>
    <w:p w:rsidR="00DB167B" w:rsidRDefault="00DB167B" w:rsidP="00DB167B">
      <w:r>
        <w:t xml:space="preserve">6.6. julkaistussa korjatussa vertailutasolaskelmassa hakkuukertymä on </w:t>
      </w:r>
      <w:proofErr w:type="gramStart"/>
      <w:r>
        <w:t>81-82</w:t>
      </w:r>
      <w:proofErr w:type="gramEnd"/>
      <w:r>
        <w:t xml:space="preserve"> Mm3 ja metsänielu 31 MtCO</w:t>
      </w:r>
      <w:r w:rsidRPr="008635CC">
        <w:rPr>
          <w:vertAlign w:val="subscript"/>
        </w:rPr>
        <w:t>2</w:t>
      </w:r>
      <w:r>
        <w:t xml:space="preserve"> (julkaisutilaisuuden tallenne löytyy täältä: </w:t>
      </w:r>
      <w:hyperlink r:id="rId8" w:history="1">
        <w:r w:rsidRPr="00C9419B">
          <w:rPr>
            <w:rStyle w:val="Hyperlinkki"/>
          </w:rPr>
          <w:t>https://www.youtube.com/watch?v=QbErY9AznT0</w:t>
        </w:r>
      </w:hyperlink>
      <w:r>
        <w:t xml:space="preserve">, ks. kohta 1 tunti 2 minuuttia). Sekä alkuperäinen että korjattu vertailutasolaskelma on tuotettu Luonnonvarakeskuksen </w:t>
      </w:r>
      <w:proofErr w:type="spellStart"/>
      <w:r>
        <w:t>MELA-mallilla</w:t>
      </w:r>
      <w:proofErr w:type="spellEnd"/>
      <w:r>
        <w:t xml:space="preserve">. </w:t>
      </w:r>
    </w:p>
    <w:p w:rsidR="00DB167B" w:rsidRDefault="00DB167B" w:rsidP="00DB167B"/>
    <w:p w:rsidR="00DB167B" w:rsidRDefault="00DB167B" w:rsidP="00DB167B">
      <w:r>
        <w:t xml:space="preserve">Puuston nieluluvut ovat saatavissa Tilastokeskuksen laatimassa uusimmassa kasvihuonekaasuinventaarissa vuosille </w:t>
      </w:r>
      <w:proofErr w:type="gramStart"/>
      <w:r>
        <w:t>2005-2017</w:t>
      </w:r>
      <w:proofErr w:type="gramEnd"/>
      <w:r>
        <w:t>. Tällä aikavälillä puuston nielu on voimakkaasti positiivisesti korreloitunut metsätilastoista saatavien runkopuun kasvun ja kokonaispoistuman erotuksen kanssa (</w:t>
      </w:r>
      <w:r w:rsidRPr="00D638F4">
        <w:rPr>
          <w:i/>
        </w:rPr>
        <w:t>R</w:t>
      </w:r>
      <w:r w:rsidRPr="00D638F4">
        <w:rPr>
          <w:i/>
          <w:vertAlign w:val="superscript"/>
        </w:rPr>
        <w:t>2</w:t>
      </w:r>
      <w:r w:rsidRPr="00D638F4">
        <w:rPr>
          <w:i/>
        </w:rPr>
        <w:t>=0,95</w:t>
      </w:r>
      <w:r>
        <w:t xml:space="preserve">). </w:t>
      </w:r>
      <w:proofErr w:type="spellStart"/>
      <w:r>
        <w:t>MELA-malli</w:t>
      </w:r>
      <w:proofErr w:type="spellEnd"/>
      <w:r>
        <w:t xml:space="preserve"> tuottaa julkaisujen perusteella</w:t>
      </w:r>
      <w:proofErr w:type="gramStart"/>
      <w:r>
        <w:t xml:space="preserve"> (</w:t>
      </w:r>
      <w:r w:rsidRPr="00D67789">
        <w:t>MMM &amp; LUKE 2018, Lehtonen ym.</w:t>
      </w:r>
      <w:proofErr w:type="gramEnd"/>
      <w:r w:rsidRPr="00D67789">
        <w:t xml:space="preserve"> 2016)</w:t>
      </w:r>
      <w:r>
        <w:t xml:space="preserve"> suuremman puuston nielun runkopuun kasvun ja kokonaispoistuman erotukselle kuin kasvihuonekaasuinventaarit vuosille </w:t>
      </w:r>
      <w:proofErr w:type="gramStart"/>
      <w:r>
        <w:t>2005-2017</w:t>
      </w:r>
      <w:proofErr w:type="gramEnd"/>
      <w:r>
        <w:t xml:space="preserve"> osoittavat (kuva 1). Ero puuston nielussa on kasvihuonekaasuinventaarien perusteella määritettyyn trendiviivaan nähden lähes 10 </w:t>
      </w:r>
      <w:proofErr w:type="spellStart"/>
      <w:r>
        <w:t>Mt</w:t>
      </w:r>
      <w:proofErr w:type="spellEnd"/>
      <w:r>
        <w:t xml:space="preserve"> CO</w:t>
      </w:r>
      <w:r w:rsidRPr="00141784">
        <w:rPr>
          <w:vertAlign w:val="subscript"/>
        </w:rPr>
        <w:t>2</w:t>
      </w:r>
      <w:r>
        <w:t>.</w:t>
      </w:r>
    </w:p>
    <w:p w:rsidR="00DB167B" w:rsidRDefault="00DB167B" w:rsidP="00DB167B"/>
    <w:p w:rsidR="00DB167B" w:rsidRDefault="00DB167B" w:rsidP="00DB167B">
      <w:r>
        <w:t xml:space="preserve">Vuosina </w:t>
      </w:r>
      <w:proofErr w:type="gramStart"/>
      <w:r>
        <w:t>2005-2017</w:t>
      </w:r>
      <w:proofErr w:type="gramEnd"/>
      <w:r>
        <w:t xml:space="preserve"> kokonaispoistuman ja hakkuukertymän suhde on ollut n. 1,2. Alkuperäisessä vertailutasolaskennassa kokonaispoistuman ja hakkuukertymän suhde on kaudelle </w:t>
      </w:r>
      <w:proofErr w:type="gramStart"/>
      <w:r>
        <w:t>2021-2025</w:t>
      </w:r>
      <w:proofErr w:type="gramEnd"/>
      <w:r>
        <w:t xml:space="preserve"> n. 1,13. Tilastojen perusteella kokonaispoistuman ja hakkuukertymän suhde on siis ollut selvästi suurempi kuin vertailutasolaskennassa. Mikäli </w:t>
      </w:r>
      <w:proofErr w:type="gramStart"/>
      <w:r>
        <w:t>81-82</w:t>
      </w:r>
      <w:proofErr w:type="gramEnd"/>
      <w:r>
        <w:t xml:space="preserve"> Mm</w:t>
      </w:r>
      <w:r w:rsidRPr="00141784">
        <w:rPr>
          <w:vertAlign w:val="superscript"/>
        </w:rPr>
        <w:t>3</w:t>
      </w:r>
      <w:r>
        <w:t xml:space="preserve"> vuosittaista hakkuukertymää vastaisi tilastojen mukainen kokonaispoistuma, olisi kokonaispoistuma n. 97-98 Mm</w:t>
      </w:r>
      <w:r w:rsidRPr="00141784">
        <w:rPr>
          <w:vertAlign w:val="superscript"/>
        </w:rPr>
        <w:t>3</w:t>
      </w:r>
      <w:r>
        <w:t>. Tätä vastaava puuston nielu olisi 113 Mm</w:t>
      </w:r>
      <w:r w:rsidRPr="00141784">
        <w:rPr>
          <w:vertAlign w:val="superscript"/>
        </w:rPr>
        <w:t>3</w:t>
      </w:r>
      <w:r>
        <w:t xml:space="preserve"> puuston kasvulla ja kasvihuonekaasuinventaarien perusteella määritetyn trendiviivan mukaan n. </w:t>
      </w:r>
      <w:proofErr w:type="gramStart"/>
      <w:r>
        <w:t>13-14</w:t>
      </w:r>
      <w:proofErr w:type="gramEnd"/>
      <w:r>
        <w:t xml:space="preserve"> </w:t>
      </w:r>
      <w:proofErr w:type="spellStart"/>
      <w:r>
        <w:t>Mt</w:t>
      </w:r>
      <w:proofErr w:type="spellEnd"/>
      <w:r>
        <w:t xml:space="preserve"> CO</w:t>
      </w:r>
      <w:r w:rsidRPr="00141784">
        <w:rPr>
          <w:vertAlign w:val="subscript"/>
        </w:rPr>
        <w:t>2</w:t>
      </w:r>
      <w:r>
        <w:t xml:space="preserve">. Vertailutasolaskennassa orgaanisten maiden ja kivennäismaiden maaperän kasvihuonekaasutase on kaudelle </w:t>
      </w:r>
      <w:proofErr w:type="gramStart"/>
      <w:r>
        <w:t>2021-2025</w:t>
      </w:r>
      <w:proofErr w:type="gramEnd"/>
      <w:r>
        <w:t xml:space="preserve"> n. 2 </w:t>
      </w:r>
      <w:proofErr w:type="spellStart"/>
      <w:r>
        <w:t>Mt</w:t>
      </w:r>
      <w:proofErr w:type="spellEnd"/>
      <w:r>
        <w:t xml:space="preserve"> CO</w:t>
      </w:r>
      <w:r w:rsidRPr="00141784">
        <w:rPr>
          <w:vertAlign w:val="subscript"/>
        </w:rPr>
        <w:t>2</w:t>
      </w:r>
      <w:r>
        <w:t xml:space="preserve"> nielu. Lisäämällä tämän edellä mainittuun puuston nieluun, </w:t>
      </w:r>
      <w:r w:rsidRPr="00403E00">
        <w:t>saadaan metsien</w:t>
      </w:r>
      <w:r>
        <w:t xml:space="preserve"> kokonaisnieluksi </w:t>
      </w:r>
      <w:proofErr w:type="gramStart"/>
      <w:r>
        <w:t>15-16</w:t>
      </w:r>
      <w:proofErr w:type="gramEnd"/>
      <w:r>
        <w:t xml:space="preserve"> </w:t>
      </w:r>
      <w:proofErr w:type="spellStart"/>
      <w:r>
        <w:t>Mt</w:t>
      </w:r>
      <w:proofErr w:type="spellEnd"/>
      <w:r>
        <w:t xml:space="preserve"> CO</w:t>
      </w:r>
      <w:r w:rsidRPr="00141784">
        <w:rPr>
          <w:vertAlign w:val="subscript"/>
        </w:rPr>
        <w:t>2</w:t>
      </w:r>
      <w:r>
        <w:t>.</w:t>
      </w:r>
    </w:p>
    <w:p w:rsidR="00DB167B" w:rsidRDefault="00DB167B" w:rsidP="00DB167B"/>
    <w:p w:rsidR="00DB167B" w:rsidRPr="00160396" w:rsidRDefault="00DB167B" w:rsidP="00DB167B">
      <w:pPr>
        <w:pStyle w:val="Luettelokappale"/>
        <w:numPr>
          <w:ilvl w:val="0"/>
          <w:numId w:val="1"/>
        </w:numPr>
        <w:rPr>
          <w:b/>
        </w:rPr>
      </w:pPr>
      <w:r w:rsidRPr="00160396">
        <w:rPr>
          <w:b/>
        </w:rPr>
        <w:t xml:space="preserve">Ohjelmassa </w:t>
      </w:r>
      <w:r>
        <w:rPr>
          <w:b/>
        </w:rPr>
        <w:t>esitin</w:t>
      </w:r>
      <w:r w:rsidRPr="00160396">
        <w:rPr>
          <w:b/>
        </w:rPr>
        <w:t xml:space="preserve"> arvion, että 38 </w:t>
      </w:r>
      <w:proofErr w:type="spellStart"/>
      <w:r w:rsidRPr="00160396">
        <w:rPr>
          <w:b/>
        </w:rPr>
        <w:t>Mt</w:t>
      </w:r>
      <w:proofErr w:type="spellEnd"/>
      <w:r w:rsidRPr="00160396">
        <w:rPr>
          <w:b/>
        </w:rPr>
        <w:t xml:space="preserve"> CO</w:t>
      </w:r>
      <w:r w:rsidRPr="00141784">
        <w:rPr>
          <w:b/>
          <w:vertAlign w:val="subscript"/>
        </w:rPr>
        <w:t>2</w:t>
      </w:r>
      <w:r w:rsidRPr="00160396">
        <w:rPr>
          <w:b/>
        </w:rPr>
        <w:t xml:space="preserve"> nieluun (metsämaa + puutuotteet) päästäisiin vajaan 70 Mm</w:t>
      </w:r>
      <w:r w:rsidRPr="00141784">
        <w:rPr>
          <w:b/>
          <w:vertAlign w:val="superscript"/>
        </w:rPr>
        <w:t>3</w:t>
      </w:r>
      <w:r w:rsidRPr="00160396">
        <w:rPr>
          <w:b/>
        </w:rPr>
        <w:t xml:space="preserve"> hakkuutasolla.</w:t>
      </w:r>
    </w:p>
    <w:p w:rsidR="00DB167B" w:rsidRDefault="00DB167B" w:rsidP="00DB167B"/>
    <w:p w:rsidR="00DB167B" w:rsidRPr="00160396" w:rsidRDefault="00DB167B" w:rsidP="00DB167B">
      <w:pPr>
        <w:rPr>
          <w:b/>
        </w:rPr>
      </w:pPr>
      <w:r w:rsidRPr="00160396">
        <w:rPr>
          <w:b/>
        </w:rPr>
        <w:t>Perustelu:</w:t>
      </w:r>
    </w:p>
    <w:p w:rsidR="00DB167B" w:rsidRDefault="00DB167B" w:rsidP="00DB167B"/>
    <w:p w:rsidR="00DB167B" w:rsidRDefault="00DB167B" w:rsidP="00DB167B">
      <w:r w:rsidRPr="00403E00">
        <w:t xml:space="preserve">6.6. julkaistussa korjatussa vertailutasolaskelmassa metsien nielu oli 31 </w:t>
      </w:r>
      <w:proofErr w:type="spellStart"/>
      <w:r w:rsidRPr="00403E00">
        <w:t>Mt</w:t>
      </w:r>
      <w:proofErr w:type="spellEnd"/>
      <w:r w:rsidRPr="00403E00">
        <w:t xml:space="preserve"> CO</w:t>
      </w:r>
      <w:r w:rsidRPr="00403E00">
        <w:rPr>
          <w:vertAlign w:val="subscript"/>
        </w:rPr>
        <w:t>2</w:t>
      </w:r>
      <w:r w:rsidRPr="00403E00">
        <w:t xml:space="preserve"> ja puutuotteiden nielu 7 </w:t>
      </w:r>
      <w:proofErr w:type="spellStart"/>
      <w:r w:rsidRPr="00403E00">
        <w:t>Mt</w:t>
      </w:r>
      <w:proofErr w:type="spellEnd"/>
      <w:r w:rsidRPr="00403E00">
        <w:t xml:space="preserve"> CO</w:t>
      </w:r>
      <w:r w:rsidRPr="00403E00">
        <w:rPr>
          <w:vertAlign w:val="subscript"/>
        </w:rPr>
        <w:t>2</w:t>
      </w:r>
      <w:r w:rsidRPr="00403E00">
        <w:t xml:space="preserve">. Julkisuuteen kerrotuista tiedoista ei selviä, miten metsien nielu jakautuu korjatussa laskelmassa puuston ja maaperän taseisiin. Olettamalla, että maaperän hiilitase vastaisi alkuperäistä vertailutasoesitystä, olisi puuston nielu tällöin 29 </w:t>
      </w:r>
      <w:proofErr w:type="spellStart"/>
      <w:r w:rsidRPr="00403E00">
        <w:t>Mt</w:t>
      </w:r>
      <w:proofErr w:type="spellEnd"/>
      <w:r w:rsidRPr="00403E00">
        <w:t xml:space="preserve"> CO</w:t>
      </w:r>
      <w:r w:rsidRPr="00403E00">
        <w:rPr>
          <w:vertAlign w:val="subscript"/>
        </w:rPr>
        <w:t>2</w:t>
      </w:r>
      <w:r w:rsidRPr="00403E00">
        <w:t xml:space="preserve">. Kasvihuonekaasuinventaarien perusteella määritetyn trendiviivan mukaan 29 </w:t>
      </w:r>
      <w:proofErr w:type="spellStart"/>
      <w:r w:rsidRPr="00403E00">
        <w:t>Mt</w:t>
      </w:r>
      <w:proofErr w:type="spellEnd"/>
      <w:r w:rsidRPr="00403E00">
        <w:t xml:space="preserve"> CO</w:t>
      </w:r>
      <w:r w:rsidRPr="00403E00">
        <w:rPr>
          <w:vertAlign w:val="subscript"/>
        </w:rPr>
        <w:t>2</w:t>
      </w:r>
      <w:r w:rsidRPr="00403E00">
        <w:t xml:space="preserve"> puuston nielua vastaisi n. 29 Mm</w:t>
      </w:r>
      <w:r w:rsidRPr="00403E00">
        <w:rPr>
          <w:vertAlign w:val="superscript"/>
        </w:rPr>
        <w:t>3</w:t>
      </w:r>
      <w:r w:rsidRPr="00403E00">
        <w:t xml:space="preserve"> runkopuun kasvun ja kokonaispoistuman erotus. Vertailutasolaskennassa kaudelle </w:t>
      </w:r>
      <w:proofErr w:type="gramStart"/>
      <w:r w:rsidRPr="00403E00">
        <w:t>2021-2025</w:t>
      </w:r>
      <w:proofErr w:type="gramEnd"/>
      <w:r w:rsidRPr="00403E00">
        <w:t xml:space="preserve">  esitetylle puuston kasvulle (113 Mm</w:t>
      </w:r>
      <w:r w:rsidRPr="00403E00">
        <w:rPr>
          <w:vertAlign w:val="superscript"/>
        </w:rPr>
        <w:t>3</w:t>
      </w:r>
      <w:r w:rsidRPr="00403E00">
        <w:t>) tämä tarkoittaisi 84 Mm</w:t>
      </w:r>
      <w:r w:rsidRPr="00403E00">
        <w:rPr>
          <w:vertAlign w:val="superscript"/>
        </w:rPr>
        <w:t>3</w:t>
      </w:r>
      <w:r w:rsidRPr="00403E00">
        <w:t xml:space="preserve"> kokonaispoistumaa. Tilastojen perusteella määritety</w:t>
      </w:r>
      <w:r>
        <w:t>llä</w:t>
      </w:r>
      <w:r w:rsidRPr="00403E00">
        <w:t xml:space="preserve"> kokonaispoistuman ja hakkuukertymän suhteella tämä tarkoittaisi n. 70 Mm</w:t>
      </w:r>
      <w:r w:rsidRPr="00403E00">
        <w:rPr>
          <w:vertAlign w:val="superscript"/>
        </w:rPr>
        <w:t>3</w:t>
      </w:r>
      <w:r w:rsidRPr="00403E00">
        <w:t xml:space="preserve"> hakkuukertymää. Tällaisella hakkuukertymällä puutuotteiden hiilinielu on kuitenkin vastaavalla teollisuuspuun käytön rakenteella selvästi pienempi kuin 7 </w:t>
      </w:r>
      <w:proofErr w:type="spellStart"/>
      <w:r w:rsidRPr="00403E00">
        <w:t>Mt</w:t>
      </w:r>
      <w:proofErr w:type="spellEnd"/>
      <w:r w:rsidRPr="00403E00">
        <w:t xml:space="preserve"> CO</w:t>
      </w:r>
      <w:r w:rsidRPr="00403E00">
        <w:rPr>
          <w:vertAlign w:val="subscript"/>
        </w:rPr>
        <w:t>2</w:t>
      </w:r>
      <w:r w:rsidRPr="00403E00">
        <w:t>. Esimerkiksi vuonna 2016, jolloin hakkuukertymä oli 70 Mm</w:t>
      </w:r>
      <w:r w:rsidRPr="00403E00">
        <w:rPr>
          <w:vertAlign w:val="superscript"/>
        </w:rPr>
        <w:t>3</w:t>
      </w:r>
      <w:r w:rsidRPr="00403E00">
        <w:t xml:space="preserve">, oli </w:t>
      </w:r>
      <w:r w:rsidRPr="00403E00">
        <w:lastRenderedPageBreak/>
        <w:t xml:space="preserve">puutuotteiden nielu n. 4 </w:t>
      </w:r>
      <w:proofErr w:type="spellStart"/>
      <w:r w:rsidRPr="00403E00">
        <w:t>Mt</w:t>
      </w:r>
      <w:proofErr w:type="spellEnd"/>
      <w:r w:rsidRPr="00403E00">
        <w:t xml:space="preserve"> CO2.  Tästä voidaan päätellä, että hakkuukertymän tulisi jäädä alle 70 Mm</w:t>
      </w:r>
      <w:r w:rsidRPr="00403E00">
        <w:rPr>
          <w:vertAlign w:val="superscript"/>
        </w:rPr>
        <w:t>3</w:t>
      </w:r>
      <w:r w:rsidRPr="00403E00">
        <w:t>, jotta em. puuston kasvulla ja kokonaispoistuman ja hakkuukertymän suhteella voitaisiin saavuttaa metsien ja</w:t>
      </w:r>
      <w:r>
        <w:t xml:space="preserve"> puutuotteiden yhteenlaskettu 38 </w:t>
      </w:r>
      <w:proofErr w:type="spellStart"/>
      <w:r>
        <w:t>Mt</w:t>
      </w:r>
      <w:proofErr w:type="spellEnd"/>
      <w:r>
        <w:t xml:space="preserve"> CO</w:t>
      </w:r>
      <w:r w:rsidRPr="00141784">
        <w:rPr>
          <w:vertAlign w:val="subscript"/>
        </w:rPr>
        <w:t>2</w:t>
      </w:r>
      <w:r>
        <w:t xml:space="preserve"> -suuruinen nielu.</w:t>
      </w:r>
    </w:p>
    <w:p w:rsidR="00DB167B" w:rsidRDefault="00DB167B" w:rsidP="00DB167B"/>
    <w:p w:rsidR="00DB167B" w:rsidRDefault="00DB167B" w:rsidP="00DB167B">
      <w:r>
        <w:rPr>
          <w:noProof/>
          <w:lang w:eastAsia="fi-FI"/>
        </w:rPr>
        <w:drawing>
          <wp:inline distT="0" distB="0" distL="0" distR="0" wp14:anchorId="068E12C2" wp14:editId="13725760">
            <wp:extent cx="5988451" cy="3916562"/>
            <wp:effectExtent l="0" t="0" r="0" b="825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12" cy="39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67B" w:rsidRPr="00B10E7E" w:rsidRDefault="00DB167B" w:rsidP="00DB167B">
      <w:pPr>
        <w:spacing w:before="120"/>
        <w:rPr>
          <w:i/>
        </w:rPr>
      </w:pPr>
      <w:r w:rsidRPr="00D41081">
        <w:rPr>
          <w:i/>
        </w:rPr>
        <w:t>Kuva 1. Puuston nielu (</w:t>
      </w:r>
      <w:proofErr w:type="spellStart"/>
      <w:r w:rsidRPr="00D41081">
        <w:rPr>
          <w:i/>
        </w:rPr>
        <w:t>Mt</w:t>
      </w:r>
      <w:proofErr w:type="spellEnd"/>
      <w:r w:rsidRPr="00D41081">
        <w:rPr>
          <w:i/>
        </w:rPr>
        <w:t xml:space="preserve"> CO</w:t>
      </w:r>
      <w:r w:rsidRPr="00D41081">
        <w:rPr>
          <w:i/>
          <w:vertAlign w:val="subscript"/>
        </w:rPr>
        <w:t>2</w:t>
      </w:r>
      <w:r>
        <w:rPr>
          <w:i/>
        </w:rPr>
        <w:t>a</w:t>
      </w:r>
      <w:r w:rsidRPr="00D41081">
        <w:rPr>
          <w:i/>
          <w:vertAlign w:val="superscript"/>
        </w:rPr>
        <w:t>-1</w:t>
      </w:r>
      <w:r w:rsidRPr="00D41081">
        <w:rPr>
          <w:i/>
        </w:rPr>
        <w:t>) puuston kasvun ja poistuman erotuksen (Mm</w:t>
      </w:r>
      <w:r w:rsidRPr="00D41081">
        <w:rPr>
          <w:i/>
          <w:vertAlign w:val="superscript"/>
        </w:rPr>
        <w:t>3</w:t>
      </w:r>
      <w:r w:rsidRPr="00D41081">
        <w:rPr>
          <w:i/>
        </w:rPr>
        <w:t>)</w:t>
      </w:r>
      <w:r>
        <w:rPr>
          <w:i/>
        </w:rPr>
        <w:t xml:space="preserve"> funktiona kasvihuonekaasuinventaarissa vuosina </w:t>
      </w:r>
      <w:proofErr w:type="gramStart"/>
      <w:r>
        <w:rPr>
          <w:i/>
        </w:rPr>
        <w:t>2005-2017</w:t>
      </w:r>
      <w:proofErr w:type="gramEnd"/>
      <w:r>
        <w:rPr>
          <w:i/>
        </w:rPr>
        <w:t xml:space="preserve"> (NIR 2019), Suomen vertailutasoesityksessä (Finland </w:t>
      </w:r>
      <w:proofErr w:type="spellStart"/>
      <w:r>
        <w:rPr>
          <w:i/>
        </w:rPr>
        <w:t>submission</w:t>
      </w:r>
      <w:proofErr w:type="spellEnd"/>
      <w:r>
        <w:rPr>
          <w:i/>
        </w:rPr>
        <w:t xml:space="preserve"> 2018) ja energia- ja ilmastostrategian taustalaskelmissa (Lehtonen ym. 2016). </w:t>
      </w:r>
      <w:r w:rsidRPr="00D67789">
        <w:rPr>
          <w:i/>
          <w:lang w:val="en-US"/>
        </w:rPr>
        <w:t>FRL = Forest Reference level (</w:t>
      </w:r>
      <w:proofErr w:type="spellStart"/>
      <w:r w:rsidRPr="00D67789">
        <w:rPr>
          <w:i/>
          <w:lang w:val="en-US"/>
        </w:rPr>
        <w:t>metsien</w:t>
      </w:r>
      <w:proofErr w:type="spellEnd"/>
      <w:r w:rsidRPr="00D67789">
        <w:rPr>
          <w:i/>
          <w:lang w:val="en-US"/>
        </w:rPr>
        <w:t xml:space="preserve"> </w:t>
      </w:r>
      <w:proofErr w:type="spellStart"/>
      <w:r w:rsidRPr="00D67789">
        <w:rPr>
          <w:i/>
          <w:lang w:val="en-US"/>
        </w:rPr>
        <w:t>vertailutaso</w:t>
      </w:r>
      <w:proofErr w:type="spellEnd"/>
      <w:r w:rsidRPr="00D67789">
        <w:rPr>
          <w:i/>
          <w:lang w:val="en-US"/>
        </w:rPr>
        <w:t>), NIR = National Inventory Report, E&amp;</w:t>
      </w:r>
      <w:r w:rsidRPr="00B54079">
        <w:rPr>
          <w:i/>
          <w:lang w:val="en-US"/>
        </w:rPr>
        <w:t xml:space="preserve">I = </w:t>
      </w:r>
      <w:proofErr w:type="spellStart"/>
      <w:r>
        <w:rPr>
          <w:i/>
          <w:lang w:val="en-US"/>
        </w:rPr>
        <w:t>E</w:t>
      </w:r>
      <w:r w:rsidRPr="00D67789">
        <w:rPr>
          <w:i/>
          <w:lang w:val="en-US"/>
        </w:rPr>
        <w:t>nergia</w:t>
      </w:r>
      <w:proofErr w:type="spellEnd"/>
      <w:r w:rsidRPr="00B54079">
        <w:rPr>
          <w:i/>
          <w:lang w:val="en-US"/>
        </w:rPr>
        <w:t xml:space="preserve">- </w:t>
      </w:r>
      <w:proofErr w:type="gramStart"/>
      <w:r w:rsidRPr="00B54079">
        <w:rPr>
          <w:i/>
          <w:lang w:val="en-US"/>
        </w:rPr>
        <w:t>ja</w:t>
      </w:r>
      <w:proofErr w:type="gramEnd"/>
      <w:r w:rsidRPr="00B54079">
        <w:rPr>
          <w:i/>
          <w:lang w:val="en-US"/>
        </w:rPr>
        <w:t xml:space="preserve"> </w:t>
      </w:r>
      <w:proofErr w:type="spellStart"/>
      <w:r w:rsidRPr="00B54079">
        <w:rPr>
          <w:i/>
          <w:lang w:val="en-US"/>
        </w:rPr>
        <w:t>ilmastost</w:t>
      </w:r>
      <w:r>
        <w:rPr>
          <w:i/>
          <w:lang w:val="en-US"/>
        </w:rPr>
        <w:t>rategia</w:t>
      </w:r>
      <w:proofErr w:type="spellEnd"/>
      <w:r>
        <w:rPr>
          <w:i/>
          <w:lang w:val="en-US"/>
        </w:rPr>
        <w:t xml:space="preserve"> 2016. </w:t>
      </w:r>
      <w:r w:rsidRPr="00B10E7E">
        <w:rPr>
          <w:i/>
        </w:rPr>
        <w:t xml:space="preserve">Puuston kasvu on asetettu </w:t>
      </w:r>
      <w:proofErr w:type="spellStart"/>
      <w:r w:rsidRPr="00B10E7E">
        <w:rPr>
          <w:i/>
        </w:rPr>
        <w:t>VMI-mittausjaksojen</w:t>
      </w:r>
      <w:proofErr w:type="spellEnd"/>
      <w:r w:rsidRPr="00B10E7E">
        <w:rPr>
          <w:i/>
        </w:rPr>
        <w:t xml:space="preserve"> keskivuoteen, </w:t>
      </w:r>
      <w:r>
        <w:rPr>
          <w:i/>
        </w:rPr>
        <w:t xml:space="preserve">niiden välivuodet on interpoloitu ja vuodesta 2013 alkaen puuston kasvu on ekstrapoloitu biomassan kokonaiskasvutietojen perusteella. </w:t>
      </w:r>
      <w:r w:rsidRPr="00B10E7E">
        <w:rPr>
          <w:i/>
        </w:rPr>
        <w:t xml:space="preserve">Vuosien </w:t>
      </w:r>
      <w:proofErr w:type="gramStart"/>
      <w:r w:rsidRPr="00B10E7E">
        <w:rPr>
          <w:i/>
        </w:rPr>
        <w:t>2005-2017</w:t>
      </w:r>
      <w:proofErr w:type="gramEnd"/>
      <w:r w:rsidRPr="00B10E7E">
        <w:rPr>
          <w:i/>
        </w:rPr>
        <w:t xml:space="preserve"> </w:t>
      </w:r>
      <w:r>
        <w:rPr>
          <w:i/>
        </w:rPr>
        <w:t>luvuista</w:t>
      </w:r>
      <w:r w:rsidRPr="00B10E7E">
        <w:rPr>
          <w:i/>
        </w:rPr>
        <w:t xml:space="preserve"> vain vuosi 2006 poikkeaa merkittävästi trendiviivasta. Vuonna 2009 kokonaispoistuma oli selvästi muita vuosia alhaisempi, mutta puuston nielu asettuu hyvin lähelle trendiviivaa.</w:t>
      </w:r>
    </w:p>
    <w:p w:rsidR="00DB167B" w:rsidRPr="00B10E7E" w:rsidRDefault="00DB167B" w:rsidP="00DB167B">
      <w:pPr>
        <w:rPr>
          <w:i/>
        </w:rPr>
      </w:pPr>
    </w:p>
    <w:p w:rsidR="00DB167B" w:rsidRPr="00D67789" w:rsidRDefault="00DB167B" w:rsidP="00DB167B">
      <w:pPr>
        <w:pStyle w:val="Defaul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67789">
        <w:rPr>
          <w:rFonts w:ascii="Arial" w:hAnsi="Arial" w:cs="Arial"/>
          <w:b/>
          <w:sz w:val="20"/>
          <w:szCs w:val="20"/>
        </w:rPr>
        <w:t xml:space="preserve">Keskeiset Suomen </w:t>
      </w:r>
      <w:r>
        <w:rPr>
          <w:rFonts w:ascii="Arial" w:hAnsi="Arial" w:cs="Arial"/>
          <w:b/>
          <w:sz w:val="20"/>
          <w:szCs w:val="20"/>
        </w:rPr>
        <w:t xml:space="preserve">alkuperäisen </w:t>
      </w:r>
      <w:r w:rsidRPr="00D67789">
        <w:rPr>
          <w:rFonts w:ascii="Arial" w:hAnsi="Arial" w:cs="Arial"/>
          <w:b/>
          <w:sz w:val="20"/>
          <w:szCs w:val="20"/>
        </w:rPr>
        <w:t>vertailutaso</w:t>
      </w:r>
      <w:r>
        <w:rPr>
          <w:rFonts w:ascii="Arial" w:hAnsi="Arial" w:cs="Arial"/>
          <w:b/>
          <w:sz w:val="20"/>
          <w:szCs w:val="20"/>
        </w:rPr>
        <w:t>esityksen</w:t>
      </w:r>
      <w:r w:rsidRPr="00D67789">
        <w:rPr>
          <w:rFonts w:ascii="Arial" w:hAnsi="Arial" w:cs="Arial"/>
          <w:b/>
          <w:sz w:val="20"/>
          <w:szCs w:val="20"/>
        </w:rPr>
        <w:t xml:space="preserve"> arvioimiseksi tarvittavat taustatiedot:</w:t>
      </w:r>
    </w:p>
    <w:p w:rsidR="00DB167B" w:rsidRPr="00D67789" w:rsidRDefault="00DB167B" w:rsidP="00DB167B">
      <w:pPr>
        <w:pStyle w:val="Default"/>
        <w:rPr>
          <w:rFonts w:ascii="Arial" w:hAnsi="Arial" w:cs="Arial"/>
          <w:sz w:val="20"/>
          <w:szCs w:val="20"/>
        </w:rPr>
      </w:pP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>Hakkuu- ja puustomäärät kasvatusluokittain vertailukaudella (</w:t>
      </w:r>
      <w:proofErr w:type="gramStart"/>
      <w:r w:rsidRPr="00D67789">
        <w:rPr>
          <w:rFonts w:ascii="Arial" w:hAnsi="Arial" w:cs="Arial"/>
          <w:sz w:val="20"/>
          <w:szCs w:val="20"/>
        </w:rPr>
        <w:t>2000-2009</w:t>
      </w:r>
      <w:proofErr w:type="gramEnd"/>
      <w:r w:rsidRPr="00D67789">
        <w:rPr>
          <w:rFonts w:ascii="Arial" w:hAnsi="Arial" w:cs="Arial"/>
          <w:sz w:val="20"/>
          <w:szCs w:val="20"/>
        </w:rPr>
        <w:t>) ja simulointikausilla 2011-2020 ja 2021-2025 (1. sitoumuskausi). [</w:t>
      </w:r>
      <w:r w:rsidRPr="00D67789">
        <w:rPr>
          <w:rFonts w:ascii="Arial" w:hAnsi="Arial" w:cs="Arial"/>
          <w:i/>
          <w:sz w:val="20"/>
          <w:szCs w:val="20"/>
        </w:rPr>
        <w:t xml:space="preserve">komission suositus: Technical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Article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8(5)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Principles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>, 2)</w:t>
      </w:r>
      <w:r w:rsidRPr="00D67789">
        <w:rPr>
          <w:rFonts w:ascii="Arial" w:hAnsi="Arial" w:cs="Arial"/>
          <w:sz w:val="20"/>
          <w:szCs w:val="20"/>
        </w:rPr>
        <w:t>]</w:t>
      </w: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 xml:space="preserve">Hakkuu- ja puustonmäärät ikäluokittain simulointikausilla </w:t>
      </w:r>
      <w:proofErr w:type="gramStart"/>
      <w:r w:rsidRPr="00D67789">
        <w:rPr>
          <w:rFonts w:ascii="Arial" w:hAnsi="Arial" w:cs="Arial"/>
          <w:sz w:val="20"/>
          <w:szCs w:val="20"/>
        </w:rPr>
        <w:t>2011-2020</w:t>
      </w:r>
      <w:proofErr w:type="gramEnd"/>
      <w:r w:rsidRPr="00D67789">
        <w:rPr>
          <w:rFonts w:ascii="Arial" w:hAnsi="Arial" w:cs="Arial"/>
          <w:sz w:val="20"/>
          <w:szCs w:val="20"/>
        </w:rPr>
        <w:t xml:space="preserve"> ja 2021-2025 (1. sitoumuskausi) [komission suositus Technical </w:t>
      </w:r>
      <w:proofErr w:type="spellStart"/>
      <w:r w:rsidRPr="00D67789">
        <w:rPr>
          <w:rFonts w:ascii="Arial" w:hAnsi="Arial" w:cs="Arial"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sz w:val="20"/>
          <w:szCs w:val="20"/>
        </w:rPr>
        <w:t>Annex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IV, </w:t>
      </w:r>
      <w:proofErr w:type="spellStart"/>
      <w:r w:rsidRPr="00D67789">
        <w:rPr>
          <w:rFonts w:ascii="Arial" w:hAnsi="Arial" w:cs="Arial"/>
          <w:sz w:val="20"/>
          <w:szCs w:val="20"/>
        </w:rPr>
        <w:t>Section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7789">
        <w:rPr>
          <w:rFonts w:ascii="Arial" w:hAnsi="Arial" w:cs="Arial"/>
          <w:sz w:val="20"/>
          <w:szCs w:val="20"/>
        </w:rPr>
        <w:t>Criteria</w:t>
      </w:r>
      <w:proofErr w:type="spellEnd"/>
      <w:r w:rsidRPr="00D67789">
        <w:rPr>
          <w:rFonts w:ascii="Arial" w:hAnsi="Arial" w:cs="Arial"/>
          <w:sz w:val="20"/>
          <w:szCs w:val="20"/>
        </w:rPr>
        <w:t>, f)]</w:t>
      </w: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 xml:space="preserve">Perustelut uudistuskypsyyden määrittelylle: </w:t>
      </w:r>
    </w:p>
    <w:p w:rsidR="00DB167B" w:rsidRPr="00D67789" w:rsidRDefault="00DB167B" w:rsidP="00DB167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>6.6. julkistettu korjattu laskelma: Uudistuskypsyyden määrittelyssä käytettyjen läpimitta</w:t>
      </w:r>
      <w:r>
        <w:rPr>
          <w:rFonts w:ascii="Arial" w:hAnsi="Arial" w:cs="Arial"/>
          <w:sz w:val="20"/>
          <w:szCs w:val="20"/>
        </w:rPr>
        <w:t>kriteerien</w:t>
      </w:r>
      <w:r w:rsidRPr="00D67789">
        <w:rPr>
          <w:rFonts w:ascii="Arial" w:hAnsi="Arial" w:cs="Arial"/>
          <w:sz w:val="20"/>
          <w:szCs w:val="20"/>
        </w:rPr>
        <w:t xml:space="preserve"> suhtautuminen vuoteen 2006 voimassa olleeseen metsälakiin ja Tapion 2006 ohjeisiin hyvän metsänhoidon käytännöistä</w:t>
      </w:r>
      <w:proofErr w:type="gramStart"/>
      <w:r w:rsidRPr="00D67789">
        <w:rPr>
          <w:rFonts w:ascii="Arial" w:hAnsi="Arial" w:cs="Arial"/>
          <w:sz w:val="20"/>
          <w:szCs w:val="20"/>
        </w:rPr>
        <w:t xml:space="preserve"> [</w:t>
      </w:r>
      <w:r w:rsidRPr="00D67789">
        <w:rPr>
          <w:rFonts w:ascii="Arial" w:hAnsi="Arial" w:cs="Arial"/>
          <w:i/>
          <w:sz w:val="20"/>
          <w:szCs w:val="20"/>
        </w:rPr>
        <w:t xml:space="preserve">komission suositus: Technical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Annex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IV,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Section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B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Elements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>, c)</w:t>
      </w:r>
      <w:proofErr w:type="gramEnd"/>
      <w:r w:rsidRPr="00D67789">
        <w:rPr>
          <w:rFonts w:ascii="Arial" w:hAnsi="Arial" w:cs="Arial"/>
          <w:sz w:val="20"/>
          <w:szCs w:val="20"/>
        </w:rPr>
        <w:t>]</w:t>
      </w: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>Historiallisten hakkuiden toteutumisen demonstrointi oletetuilla metsänhoitokäytänteillä [</w:t>
      </w:r>
      <w:r w:rsidRPr="00D67789">
        <w:rPr>
          <w:rFonts w:ascii="Arial" w:hAnsi="Arial" w:cs="Arial"/>
          <w:i/>
          <w:sz w:val="20"/>
          <w:szCs w:val="20"/>
        </w:rPr>
        <w:t xml:space="preserve">komission suositus: Technical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Article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8(5)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Principles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1),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Annex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IV,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Section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Criteria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>, h)</w:t>
      </w:r>
      <w:r w:rsidRPr="00D67789">
        <w:rPr>
          <w:rFonts w:ascii="Arial" w:hAnsi="Arial" w:cs="Arial"/>
          <w:sz w:val="20"/>
          <w:szCs w:val="20"/>
        </w:rPr>
        <w:t>]</w:t>
      </w:r>
    </w:p>
    <w:p w:rsidR="00DB167B" w:rsidRPr="00D67789" w:rsidRDefault="00DB167B" w:rsidP="00DB167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lastRenderedPageBreak/>
        <w:t xml:space="preserve">hakkuukertymä kasvatus- ja uudistushakkuutavoittain kun </w:t>
      </w:r>
      <w:proofErr w:type="spellStart"/>
      <w:r w:rsidRPr="00D67789">
        <w:rPr>
          <w:rFonts w:ascii="Arial" w:hAnsi="Arial" w:cs="Arial"/>
          <w:sz w:val="20"/>
          <w:szCs w:val="20"/>
        </w:rPr>
        <w:t>MELA-malli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sz w:val="20"/>
          <w:szCs w:val="20"/>
        </w:rPr>
        <w:t>parametrisoitu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vertailukautta edustavan VMI10-datan perusteella ja metsänhoitokäytänteiksi on asetettu uudistuskypsyyden määrittelyt (metsän ikä tai läpimitta) ja 3,5 %:n korkokanta</w:t>
      </w:r>
      <w:r>
        <w:rPr>
          <w:rFonts w:ascii="Arial" w:hAnsi="Arial" w:cs="Arial"/>
          <w:sz w:val="20"/>
          <w:szCs w:val="20"/>
        </w:rPr>
        <w:t xml:space="preserve"> ilman</w:t>
      </w:r>
      <w:r w:rsidRPr="00D67789">
        <w:rPr>
          <w:rFonts w:ascii="Arial" w:hAnsi="Arial" w:cs="Arial"/>
          <w:sz w:val="20"/>
          <w:szCs w:val="20"/>
        </w:rPr>
        <w:t xml:space="preserve"> hakkuupinta-alarajoitteita.</w:t>
      </w:r>
    </w:p>
    <w:p w:rsidR="00DB167B" w:rsidRPr="00D67789" w:rsidRDefault="00DB167B" w:rsidP="00DB167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 xml:space="preserve">hakkuukertymä kasvatus- ja uudistushakkuutavoittain simulointikaudella </w:t>
      </w:r>
      <w:proofErr w:type="gramStart"/>
      <w:r w:rsidRPr="00D67789">
        <w:rPr>
          <w:rFonts w:ascii="Arial" w:hAnsi="Arial" w:cs="Arial"/>
          <w:sz w:val="20"/>
          <w:szCs w:val="20"/>
        </w:rPr>
        <w:t>2011-2015</w:t>
      </w:r>
      <w:proofErr w:type="gramEnd"/>
      <w:r w:rsidRPr="00D67789">
        <w:rPr>
          <w:rFonts w:ascii="Arial" w:hAnsi="Arial" w:cs="Arial"/>
          <w:sz w:val="20"/>
          <w:szCs w:val="20"/>
        </w:rPr>
        <w:t xml:space="preserve"> kun </w:t>
      </w:r>
      <w:proofErr w:type="spellStart"/>
      <w:r w:rsidRPr="00D67789">
        <w:rPr>
          <w:rFonts w:ascii="Arial" w:hAnsi="Arial" w:cs="Arial"/>
          <w:sz w:val="20"/>
          <w:szCs w:val="20"/>
        </w:rPr>
        <w:t>MELA-malli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sz w:val="20"/>
          <w:szCs w:val="20"/>
        </w:rPr>
        <w:t>parametrisoitu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ko. kautta edustavan VMI11-datan perusteella ja metsänhoitokäytänteiksi on asetettu uudistuskypsyyden määrittelyt (metsän ikä tai läpimitta) ja 3,5 %:n korkokanta, mutta ei toteutuneita hakkuita, jotta varmistetaan käytäntöjen jatkuminen</w:t>
      </w:r>
      <w:r>
        <w:rPr>
          <w:rFonts w:ascii="Arial" w:hAnsi="Arial" w:cs="Arial"/>
          <w:sz w:val="20"/>
          <w:szCs w:val="20"/>
        </w:rPr>
        <w:t>.</w:t>
      </w: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>Historiallisten nielujen toteutumisen demonstrointi oletetuilla metsänhoitokäytänteillä</w:t>
      </w:r>
      <w:proofErr w:type="gramStart"/>
      <w:r w:rsidRPr="00D67789">
        <w:rPr>
          <w:rFonts w:ascii="Arial" w:hAnsi="Arial" w:cs="Arial"/>
          <w:sz w:val="20"/>
          <w:szCs w:val="20"/>
        </w:rPr>
        <w:t xml:space="preserve"> [</w:t>
      </w:r>
      <w:r w:rsidRPr="00D67789">
        <w:rPr>
          <w:rFonts w:ascii="Arial" w:hAnsi="Arial" w:cs="Arial"/>
          <w:i/>
          <w:sz w:val="20"/>
          <w:szCs w:val="20"/>
        </w:rPr>
        <w:t xml:space="preserve">komission suositus: Technical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Annex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IV,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Section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Criteria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>, h)</w:t>
      </w:r>
      <w:proofErr w:type="gramEnd"/>
      <w:r w:rsidRPr="00D67789">
        <w:rPr>
          <w:rFonts w:ascii="Arial" w:hAnsi="Arial" w:cs="Arial"/>
          <w:i/>
          <w:sz w:val="20"/>
          <w:szCs w:val="20"/>
        </w:rPr>
        <w:t>]</w:t>
      </w:r>
    </w:p>
    <w:p w:rsidR="00DB167B" w:rsidRPr="00D67789" w:rsidRDefault="00DB167B" w:rsidP="00DB167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 xml:space="preserve">puuston, maaperän ja puutuotteiden kasvihuonekaasutaseet vertailukaudella kun </w:t>
      </w:r>
      <w:proofErr w:type="spellStart"/>
      <w:r w:rsidRPr="00D67789">
        <w:rPr>
          <w:rFonts w:ascii="Arial" w:hAnsi="Arial" w:cs="Arial"/>
          <w:sz w:val="20"/>
          <w:szCs w:val="20"/>
        </w:rPr>
        <w:t>MELA-malli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sz w:val="20"/>
          <w:szCs w:val="20"/>
        </w:rPr>
        <w:t>parametrisoitu</w:t>
      </w:r>
      <w:proofErr w:type="spellEnd"/>
      <w:r w:rsidRPr="00D67789">
        <w:rPr>
          <w:rFonts w:ascii="Arial" w:hAnsi="Arial" w:cs="Arial"/>
          <w:sz w:val="20"/>
          <w:szCs w:val="20"/>
        </w:rPr>
        <w:t xml:space="preserve"> vertailukautta edustavan VMI10-datan perusteella ja metsänhoitokäytänteiksi on asetettu uudistuskypsyyden määrittelyt (metsän ikä tai läpimitta) ja 3,5 %:n korkokanta</w:t>
      </w:r>
      <w:r>
        <w:rPr>
          <w:rFonts w:ascii="Arial" w:hAnsi="Arial" w:cs="Arial"/>
          <w:sz w:val="20"/>
          <w:szCs w:val="20"/>
        </w:rPr>
        <w:t xml:space="preserve"> ilman</w:t>
      </w:r>
      <w:r w:rsidRPr="00D67789">
        <w:rPr>
          <w:rFonts w:ascii="Arial" w:hAnsi="Arial" w:cs="Arial"/>
          <w:sz w:val="20"/>
          <w:szCs w:val="20"/>
        </w:rPr>
        <w:t xml:space="preserve"> hakkuupinta-alarajoitteita.</w:t>
      </w:r>
    </w:p>
    <w:p w:rsidR="00DB167B" w:rsidRPr="00D67789" w:rsidRDefault="00DB167B" w:rsidP="00DB167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7789">
        <w:rPr>
          <w:rFonts w:ascii="Arial" w:hAnsi="Arial" w:cs="Arial"/>
          <w:sz w:val="20"/>
          <w:szCs w:val="20"/>
        </w:rPr>
        <w:t xml:space="preserve">Kotimaisen puun käyttö energiapuuksi ja teollisuuspuuksi ositteittain (sahatavara, puulevyt, sellu) vertailukaudella ja simulaatiokausilla </w:t>
      </w:r>
      <w:proofErr w:type="gramStart"/>
      <w:r w:rsidRPr="00D67789">
        <w:rPr>
          <w:rFonts w:ascii="Arial" w:hAnsi="Arial" w:cs="Arial"/>
          <w:sz w:val="20"/>
          <w:szCs w:val="20"/>
        </w:rPr>
        <w:t>2011-2020</w:t>
      </w:r>
      <w:proofErr w:type="gramEnd"/>
      <w:r w:rsidRPr="00D67789">
        <w:rPr>
          <w:rFonts w:ascii="Arial" w:hAnsi="Arial" w:cs="Arial"/>
          <w:sz w:val="20"/>
          <w:szCs w:val="20"/>
        </w:rPr>
        <w:t xml:space="preserve"> ja 2021-2025 (</w:t>
      </w:r>
      <w:r w:rsidRPr="00D67789">
        <w:rPr>
          <w:rFonts w:ascii="Arial" w:hAnsi="Arial" w:cs="Arial"/>
          <w:i/>
          <w:sz w:val="20"/>
          <w:szCs w:val="20"/>
        </w:rPr>
        <w:t xml:space="preserve">1. sitoumuskausi) [komission suositus: Technical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Annex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IV,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Section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67789">
        <w:rPr>
          <w:rFonts w:ascii="Arial" w:hAnsi="Arial" w:cs="Arial"/>
          <w:i/>
          <w:sz w:val="20"/>
          <w:szCs w:val="20"/>
        </w:rPr>
        <w:t>Criteria</w:t>
      </w:r>
      <w:proofErr w:type="spellEnd"/>
      <w:r w:rsidRPr="00D67789">
        <w:rPr>
          <w:rFonts w:ascii="Arial" w:hAnsi="Arial" w:cs="Arial"/>
          <w:i/>
          <w:sz w:val="20"/>
          <w:szCs w:val="20"/>
        </w:rPr>
        <w:t>, a)</w:t>
      </w:r>
      <w:r w:rsidRPr="00D67789">
        <w:rPr>
          <w:rFonts w:ascii="Arial" w:hAnsi="Arial" w:cs="Arial"/>
          <w:sz w:val="20"/>
          <w:szCs w:val="20"/>
        </w:rPr>
        <w:t>]</w:t>
      </w:r>
    </w:p>
    <w:p w:rsidR="00DB167B" w:rsidRPr="00D67789" w:rsidRDefault="00DB167B" w:rsidP="00DB167B">
      <w:pPr>
        <w:rPr>
          <w:i/>
        </w:rPr>
      </w:pPr>
    </w:p>
    <w:p w:rsidR="00DB167B" w:rsidRPr="00963BDD" w:rsidRDefault="00DB167B" w:rsidP="00DB167B">
      <w:pPr>
        <w:rPr>
          <w:i/>
        </w:rPr>
      </w:pPr>
    </w:p>
    <w:p w:rsidR="00DB167B" w:rsidRPr="00095DDE" w:rsidRDefault="00DB167B" w:rsidP="00DB167B">
      <w:pPr>
        <w:rPr>
          <w:i/>
        </w:rPr>
      </w:pPr>
    </w:p>
    <w:p w:rsidR="00DB167B" w:rsidRPr="00DB167B" w:rsidRDefault="00DB167B" w:rsidP="00DB167B">
      <w:pPr>
        <w:rPr>
          <w:b/>
          <w:i/>
          <w:lang w:val="en-US"/>
        </w:rPr>
      </w:pPr>
      <w:proofErr w:type="spellStart"/>
      <w:r w:rsidRPr="00DB167B">
        <w:rPr>
          <w:b/>
          <w:i/>
          <w:lang w:val="en-US"/>
        </w:rPr>
        <w:t>Lähteet</w:t>
      </w:r>
      <w:proofErr w:type="spellEnd"/>
      <w:r w:rsidRPr="00DB167B">
        <w:rPr>
          <w:b/>
          <w:i/>
          <w:lang w:val="en-US"/>
        </w:rPr>
        <w:t>:</w:t>
      </w:r>
    </w:p>
    <w:p w:rsidR="00DB167B" w:rsidRPr="00DB167B" w:rsidRDefault="00DB167B" w:rsidP="00DB167B">
      <w:pPr>
        <w:rPr>
          <w:lang w:val="en-US"/>
        </w:rPr>
      </w:pPr>
    </w:p>
    <w:p w:rsidR="00DB167B" w:rsidRPr="00D67789" w:rsidRDefault="00DB167B" w:rsidP="00DB167B">
      <w:pPr>
        <w:rPr>
          <w:lang w:val="en-US"/>
        </w:rPr>
      </w:pPr>
      <w:proofErr w:type="gramStart"/>
      <w:r w:rsidRPr="00D67789">
        <w:rPr>
          <w:lang w:val="en-US"/>
        </w:rPr>
        <w:t>European Commission (EC) 2019.</w:t>
      </w:r>
      <w:proofErr w:type="gramEnd"/>
      <w:r w:rsidRPr="00D67789">
        <w:rPr>
          <w:lang w:val="en-US"/>
        </w:rPr>
        <w:t xml:space="preserve"> Co</w:t>
      </w:r>
      <w:r w:rsidRPr="000160CA">
        <w:rPr>
          <w:lang w:val="en-US"/>
        </w:rPr>
        <w:t>mmission staff working document</w:t>
      </w:r>
      <w:r>
        <w:rPr>
          <w:lang w:val="en-US"/>
        </w:rPr>
        <w:t xml:space="preserve">, assessment of the national forestry accounting plans, </w:t>
      </w:r>
      <w:r w:rsidRPr="000160CA">
        <w:rPr>
          <w:lang w:val="en-US"/>
        </w:rPr>
        <w:t>REGULATION (EU) 2018/841 OF THE</w:t>
      </w:r>
      <w:r>
        <w:rPr>
          <w:lang w:val="en-US"/>
        </w:rPr>
        <w:t xml:space="preserve"> EUROPEAN PARLIAMENT AND OF THE </w:t>
      </w:r>
      <w:r w:rsidRPr="000160CA">
        <w:rPr>
          <w:lang w:val="en-US"/>
        </w:rPr>
        <w:t>COUNCIL on the inclusion of greenhouse gas emissions and removals from land use,</w:t>
      </w:r>
      <w:r>
        <w:rPr>
          <w:lang w:val="en-US"/>
        </w:rPr>
        <w:t xml:space="preserve"> </w:t>
      </w:r>
      <w:r w:rsidRPr="000160CA">
        <w:rPr>
          <w:lang w:val="en-US"/>
        </w:rPr>
        <w:t>land use change and forestry in the 2030 climate and energy framework, and amending</w:t>
      </w:r>
      <w:r>
        <w:rPr>
          <w:lang w:val="en-US"/>
        </w:rPr>
        <w:t xml:space="preserve"> </w:t>
      </w:r>
      <w:r w:rsidRPr="000160CA">
        <w:rPr>
          <w:lang w:val="en-US"/>
        </w:rPr>
        <w:t>Regulation(EU)No 525/2013 and Decision No 529/2013/EU</w:t>
      </w:r>
      <w:r>
        <w:rPr>
          <w:lang w:val="en-US"/>
        </w:rPr>
        <w:t xml:space="preserve">, Accompanying the document </w:t>
      </w:r>
      <w:r w:rsidRPr="000160CA">
        <w:rPr>
          <w:lang w:val="en-US"/>
        </w:rPr>
        <w:t>Communication from the Commission to the European Parliament, the Council, the</w:t>
      </w:r>
      <w:r>
        <w:rPr>
          <w:lang w:val="en-US"/>
        </w:rPr>
        <w:t xml:space="preserve"> </w:t>
      </w:r>
      <w:r w:rsidRPr="000160CA">
        <w:rPr>
          <w:lang w:val="en-US"/>
        </w:rPr>
        <w:t xml:space="preserve">European Economic and Social </w:t>
      </w:r>
      <w:proofErr w:type="spellStart"/>
      <w:r w:rsidRPr="000160CA">
        <w:rPr>
          <w:lang w:val="en-US"/>
        </w:rPr>
        <w:t>Commitee</w:t>
      </w:r>
      <w:proofErr w:type="spellEnd"/>
      <w:r w:rsidRPr="000160CA">
        <w:rPr>
          <w:lang w:val="en-US"/>
        </w:rPr>
        <w:t xml:space="preserve"> and the Committee of the Regions</w:t>
      </w:r>
      <w:r>
        <w:rPr>
          <w:lang w:val="en-US"/>
        </w:rPr>
        <w:t xml:space="preserve"> </w:t>
      </w:r>
      <w:r w:rsidRPr="000160CA">
        <w:rPr>
          <w:lang w:val="en-US"/>
        </w:rPr>
        <w:t>United in delivering the Energy Union and Climate Action - Setting the foundations for</w:t>
      </w:r>
      <w:r>
        <w:rPr>
          <w:lang w:val="en-US"/>
        </w:rPr>
        <w:t xml:space="preserve"> </w:t>
      </w:r>
      <w:r w:rsidRPr="000160CA">
        <w:rPr>
          <w:lang w:val="en-US"/>
        </w:rPr>
        <w:t>a successful clean energy transition</w:t>
      </w:r>
      <w:r>
        <w:rPr>
          <w:lang w:val="en-US"/>
        </w:rPr>
        <w:t xml:space="preserve">. </w:t>
      </w:r>
      <w:proofErr w:type="gramStart"/>
      <w:r w:rsidRPr="000160CA">
        <w:rPr>
          <w:lang w:val="en-US"/>
        </w:rPr>
        <w:t>SWD(</w:t>
      </w:r>
      <w:proofErr w:type="gramEnd"/>
      <w:r w:rsidRPr="000160CA">
        <w:rPr>
          <w:lang w:val="en-US"/>
        </w:rPr>
        <w:t>2019) 213 final</w:t>
      </w:r>
      <w:r>
        <w:rPr>
          <w:lang w:val="en-US"/>
        </w:rPr>
        <w:t xml:space="preserve">, </w:t>
      </w:r>
      <w:r w:rsidRPr="000160CA">
        <w:rPr>
          <w:lang w:val="en-US"/>
        </w:rPr>
        <w:t>Brussels, 18.6.201</w:t>
      </w:r>
      <w:r>
        <w:rPr>
          <w:lang w:val="en-US"/>
        </w:rPr>
        <w:t>9.</w:t>
      </w:r>
    </w:p>
    <w:p w:rsidR="00DB167B" w:rsidRPr="00D67789" w:rsidRDefault="00DB167B" w:rsidP="00DB167B">
      <w:pPr>
        <w:rPr>
          <w:lang w:val="en-US"/>
        </w:rPr>
      </w:pPr>
    </w:p>
    <w:p w:rsidR="00DB167B" w:rsidRPr="00DB167B" w:rsidRDefault="00DB167B" w:rsidP="00DB167B">
      <w:proofErr w:type="gramStart"/>
      <w:r w:rsidRPr="00D67789">
        <w:rPr>
          <w:lang w:val="en-US"/>
        </w:rPr>
        <w:t xml:space="preserve">ICF, </w:t>
      </w:r>
      <w:proofErr w:type="spellStart"/>
      <w:r w:rsidRPr="00D67789">
        <w:rPr>
          <w:lang w:val="en-US"/>
        </w:rPr>
        <w:t>Aether</w:t>
      </w:r>
      <w:proofErr w:type="spellEnd"/>
      <w:r w:rsidRPr="00D67789">
        <w:rPr>
          <w:lang w:val="en-US"/>
        </w:rPr>
        <w:t>, IIASA 2019.</w:t>
      </w:r>
      <w:proofErr w:type="gramEnd"/>
      <w:r w:rsidRPr="00D67789">
        <w:rPr>
          <w:lang w:val="en-US"/>
        </w:rPr>
        <w:t xml:space="preserve"> </w:t>
      </w:r>
      <w:proofErr w:type="gramStart"/>
      <w:r w:rsidRPr="00D67789">
        <w:rPr>
          <w:lang w:val="en-US"/>
        </w:rPr>
        <w:t>Compilation of Synthesis Reports</w:t>
      </w:r>
      <w:r>
        <w:rPr>
          <w:lang w:val="en-US"/>
        </w:rPr>
        <w:t>.</w:t>
      </w:r>
      <w:proofErr w:type="gramEnd"/>
      <w:r w:rsidRPr="00D67789">
        <w:rPr>
          <w:lang w:val="en-US"/>
        </w:rPr>
        <w:t xml:space="preserve"> Technical Assessment of National Forest Accounting Plans as requested by the LULUCF Regulation</w:t>
      </w:r>
      <w:r>
        <w:rPr>
          <w:lang w:val="en-US"/>
        </w:rPr>
        <w:t xml:space="preserve">. </w:t>
      </w:r>
      <w:r w:rsidRPr="00DB167B">
        <w:t xml:space="preserve">7 </w:t>
      </w:r>
      <w:proofErr w:type="spellStart"/>
      <w:r w:rsidRPr="00DB167B">
        <w:t>May</w:t>
      </w:r>
      <w:proofErr w:type="spellEnd"/>
      <w:r w:rsidRPr="00DB167B">
        <w:t xml:space="preserve"> 2019.</w:t>
      </w:r>
    </w:p>
    <w:p w:rsidR="00DB167B" w:rsidRPr="00DB167B" w:rsidRDefault="00DB167B" w:rsidP="00DB167B"/>
    <w:p w:rsidR="00DB167B" w:rsidRDefault="00DB167B" w:rsidP="00DB167B">
      <w:r w:rsidRPr="007823CB">
        <w:t>Lehtonen, A., Salminen, O., Kallio, M., Tuomainen, T., Sievänen, R. 2016. Skenaariolaskelmiin perustuva puuston ja metsien ka</w:t>
      </w:r>
      <w:r w:rsidRPr="00EC7219">
        <w:t xml:space="preserve">svihuonekaasutaseen kehitys vuoteen </w:t>
      </w:r>
      <w:proofErr w:type="gramStart"/>
      <w:r w:rsidRPr="00EC7219">
        <w:t>2045 :</w:t>
      </w:r>
      <w:proofErr w:type="gramEnd"/>
      <w:r w:rsidRPr="00EC7219">
        <w:t xml:space="preserve"> Selvitys maa- ja metsätalousministeriölle vuoden 2016 energia- ja ilmastostrategian valmistelua varten</w:t>
      </w:r>
      <w:r>
        <w:t xml:space="preserve">. </w:t>
      </w:r>
      <w:r w:rsidRPr="00EC7219">
        <w:t>Luonnonvara- ja biotalouden tutkimus</w:t>
      </w:r>
      <w:r>
        <w:t xml:space="preserve"> </w:t>
      </w:r>
      <w:r w:rsidRPr="00EC7219">
        <w:t>36/2016</w:t>
      </w:r>
      <w:r>
        <w:t xml:space="preserve">. 27 s. </w:t>
      </w:r>
      <w:hyperlink r:id="rId10" w:history="1">
        <w:r w:rsidRPr="00790642">
          <w:rPr>
            <w:rStyle w:val="Hyperlinkki"/>
          </w:rPr>
          <w:t>https://jukuri.luke.fi/handle/10024/536237</w:t>
        </w:r>
      </w:hyperlink>
      <w:r>
        <w:t xml:space="preserve"> </w:t>
      </w:r>
    </w:p>
    <w:p w:rsidR="00DB167B" w:rsidRDefault="00DB167B" w:rsidP="00DB167B"/>
    <w:p w:rsidR="00DB167B" w:rsidRPr="00E42F76" w:rsidRDefault="00DB167B" w:rsidP="00DB167B">
      <w:pPr>
        <w:rPr>
          <w:lang w:val="en-US"/>
        </w:rPr>
      </w:pPr>
      <w:r w:rsidRPr="00E53404">
        <w:t xml:space="preserve">Lehtonen, </w:t>
      </w:r>
      <w:proofErr w:type="spellStart"/>
      <w:proofErr w:type="gramStart"/>
      <w:r w:rsidRPr="00E53404">
        <w:t>A.,Salminen</w:t>
      </w:r>
      <w:proofErr w:type="spellEnd"/>
      <w:proofErr w:type="gramEnd"/>
      <w:r w:rsidRPr="00E53404">
        <w:t>, O., Sievänen, R.,</w:t>
      </w:r>
      <w:r>
        <w:t xml:space="preserve"> Tuomainen, T., Ollila, P., Packalen, T., Asikainen, A., </w:t>
      </w:r>
      <w:proofErr w:type="spellStart"/>
      <w:r>
        <w:t>Thessler</w:t>
      </w:r>
      <w:proofErr w:type="spellEnd"/>
      <w:r>
        <w:t xml:space="preserve">, S., </w:t>
      </w:r>
      <w:proofErr w:type="spellStart"/>
      <w:r>
        <w:t>Ahtikoski</w:t>
      </w:r>
      <w:proofErr w:type="spellEnd"/>
      <w:r>
        <w:t xml:space="preserve">, A., Uotila, E., Mäkipää, R. </w:t>
      </w:r>
      <w:r w:rsidRPr="00E53404">
        <w:t>Suomen metsien hiilinielun vertailutason arviointi</w:t>
      </w:r>
      <w:r>
        <w:t xml:space="preserve">. </w:t>
      </w:r>
      <w:proofErr w:type="spellStart"/>
      <w:r w:rsidRPr="00E42F76">
        <w:rPr>
          <w:lang w:val="en-US"/>
        </w:rPr>
        <w:t>Luonnonvara</w:t>
      </w:r>
      <w:proofErr w:type="spellEnd"/>
      <w:r w:rsidRPr="00E42F76">
        <w:rPr>
          <w:lang w:val="en-US"/>
        </w:rPr>
        <w:t xml:space="preserve">- </w:t>
      </w:r>
      <w:proofErr w:type="gramStart"/>
      <w:r w:rsidRPr="00E42F76">
        <w:rPr>
          <w:lang w:val="en-US"/>
        </w:rPr>
        <w:t>ja</w:t>
      </w:r>
      <w:proofErr w:type="gramEnd"/>
      <w:r w:rsidRPr="00E42F76">
        <w:rPr>
          <w:lang w:val="en-US"/>
        </w:rPr>
        <w:t xml:space="preserve"> </w:t>
      </w:r>
      <w:proofErr w:type="spellStart"/>
      <w:r w:rsidRPr="00E42F76">
        <w:rPr>
          <w:lang w:val="en-US"/>
        </w:rPr>
        <w:t>biotalouden</w:t>
      </w:r>
      <w:proofErr w:type="spellEnd"/>
      <w:r w:rsidRPr="00E42F76">
        <w:rPr>
          <w:lang w:val="en-US"/>
        </w:rPr>
        <w:t xml:space="preserve"> </w:t>
      </w:r>
      <w:proofErr w:type="spellStart"/>
      <w:r w:rsidRPr="00E42F76">
        <w:rPr>
          <w:lang w:val="en-US"/>
        </w:rPr>
        <w:t>tutkimus</w:t>
      </w:r>
      <w:proofErr w:type="spellEnd"/>
      <w:r w:rsidRPr="00E42F76">
        <w:rPr>
          <w:lang w:val="en-US"/>
        </w:rPr>
        <w:t xml:space="preserve"> 20/2019. </w:t>
      </w:r>
    </w:p>
    <w:p w:rsidR="00DB167B" w:rsidRDefault="00DB167B" w:rsidP="00DB167B">
      <w:pPr>
        <w:rPr>
          <w:lang w:val="en-US"/>
        </w:rPr>
      </w:pPr>
    </w:p>
    <w:p w:rsidR="00DB167B" w:rsidRPr="00E42F76" w:rsidRDefault="00DB167B" w:rsidP="00DB167B">
      <w:proofErr w:type="gramStart"/>
      <w:r w:rsidRPr="00EC7219">
        <w:rPr>
          <w:lang w:val="en-US"/>
        </w:rPr>
        <w:t>MMM &amp; LUKE 2018.</w:t>
      </w:r>
      <w:proofErr w:type="gramEnd"/>
      <w:r w:rsidRPr="00EC7219">
        <w:rPr>
          <w:lang w:val="en-US"/>
        </w:rPr>
        <w:t xml:space="preserve"> </w:t>
      </w:r>
      <w:proofErr w:type="gramStart"/>
      <w:r w:rsidRPr="00EC7219">
        <w:rPr>
          <w:lang w:val="en-US"/>
        </w:rPr>
        <w:t xml:space="preserve">National Forestry Accounting Plan </w:t>
      </w:r>
      <w:r>
        <w:rPr>
          <w:lang w:val="en-US"/>
        </w:rPr>
        <w:t>for Finland.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Submission of the national Forestry Accounting Plan including a proposed forest reference level (2021-2025) for Finland.</w:t>
      </w:r>
      <w:proofErr w:type="gramEnd"/>
      <w:r>
        <w:rPr>
          <w:lang w:val="en-US"/>
        </w:rPr>
        <w:t xml:space="preserve"> </w:t>
      </w:r>
      <w:r w:rsidRPr="00E42F76">
        <w:t xml:space="preserve">20 </w:t>
      </w:r>
      <w:proofErr w:type="spellStart"/>
      <w:r w:rsidRPr="00E42F76">
        <w:t>December</w:t>
      </w:r>
      <w:proofErr w:type="spellEnd"/>
      <w:r w:rsidRPr="00E42F76">
        <w:t xml:space="preserve"> 2018.</w:t>
      </w:r>
    </w:p>
    <w:p w:rsidR="00DB167B" w:rsidRDefault="00DB167B" w:rsidP="00DB167B"/>
    <w:p w:rsidR="00DB167B" w:rsidRDefault="00DB167B" w:rsidP="00DB167B">
      <w:r>
        <w:t xml:space="preserve">Sompa 2019. </w:t>
      </w:r>
      <w:r w:rsidRPr="00DC3733">
        <w:t>Keskustelutilaisuus 6.6.2019: Metsänielut ilmastopolitiikassa: LULUCF asetuksen toimeenpano &amp; tulevaisuus</w:t>
      </w:r>
      <w:r>
        <w:t xml:space="preserve">. </w:t>
      </w:r>
      <w:hyperlink r:id="rId11" w:history="1">
        <w:r w:rsidRPr="00790642">
          <w:rPr>
            <w:rStyle w:val="Hyperlinkki"/>
          </w:rPr>
          <w:t>https://www.luke.fi/sompa/2019/05/15/keskustelutilaisuus-6-6-2019-metsanielut-ilmastopolitiikassa-lulucf-asetuksen-toimeenpano-tulevaisuus/</w:t>
        </w:r>
      </w:hyperlink>
      <w:r>
        <w:t xml:space="preserve"> </w:t>
      </w:r>
    </w:p>
    <w:p w:rsidR="00DB167B" w:rsidRDefault="00DB167B" w:rsidP="00DB167B"/>
    <w:p w:rsidR="00D64AD1" w:rsidRPr="00DB167B" w:rsidRDefault="00DB167B" w:rsidP="00DB167B">
      <w:pPr>
        <w:rPr>
          <w:lang w:val="en-US"/>
        </w:rPr>
      </w:pPr>
      <w:proofErr w:type="gramStart"/>
      <w:r w:rsidRPr="00EC7219">
        <w:rPr>
          <w:lang w:val="en-US"/>
        </w:rPr>
        <w:t>Statistics Finland 2019.</w:t>
      </w:r>
      <w:proofErr w:type="gramEnd"/>
      <w:r w:rsidRPr="00EC7219">
        <w:rPr>
          <w:lang w:val="en-US"/>
        </w:rPr>
        <w:t xml:space="preserve"> GREENHOUSE GAS EMISSIONS IN FINLAND 1990 to 2017. National Inventory Report</w:t>
      </w:r>
      <w:r>
        <w:rPr>
          <w:lang w:val="en-US"/>
        </w:rPr>
        <w:t xml:space="preserve"> (NIR)</w:t>
      </w:r>
      <w:r w:rsidRPr="00EC7219">
        <w:rPr>
          <w:lang w:val="en-US"/>
        </w:rPr>
        <w:t xml:space="preserve"> under the UNFCCC and the Kyoto Protocol. Submission to the European Union, 15 March 2019. </w:t>
      </w:r>
      <w:hyperlink r:id="rId12" w:history="1">
        <w:r w:rsidRPr="00AF366A">
          <w:rPr>
            <w:rStyle w:val="Hyperlinkki"/>
            <w:lang w:val="en-US"/>
          </w:rPr>
          <w:t>https://www.stat.fi/tup/khkinv/khkaasut_raportointi_en.html</w:t>
        </w:r>
      </w:hyperlink>
    </w:p>
    <w:sectPr w:rsidR="00D64AD1" w:rsidRPr="00DB167B" w:rsidSect="00D52A1F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C3" w:rsidRDefault="006330C3">
      <w:r>
        <w:separator/>
      </w:r>
    </w:p>
  </w:endnote>
  <w:endnote w:type="continuationSeparator" w:id="0">
    <w:p w:rsidR="006330C3" w:rsidRDefault="006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B" w:rsidRDefault="00DB167B">
    <w:pPr>
      <w:pStyle w:val="Alatunniste"/>
    </w:pPr>
  </w:p>
  <w:p w:rsidR="00DB167B" w:rsidRDefault="00DB167B">
    <w:pPr>
      <w:pStyle w:val="Alatunniste"/>
    </w:pPr>
  </w:p>
  <w:p w:rsidR="00DB167B" w:rsidRDefault="00DB167B">
    <w:pPr>
      <w:pStyle w:val="Alatunniste"/>
    </w:pPr>
  </w:p>
  <w:p w:rsidR="00DB167B" w:rsidRDefault="00DB167B">
    <w:pPr>
      <w:pStyle w:val="Alatunniste"/>
    </w:pPr>
  </w:p>
  <w:p w:rsidR="00DB167B" w:rsidRDefault="00DB167B">
    <w:pPr>
      <w:pStyle w:val="Alatunniste"/>
    </w:pPr>
  </w:p>
  <w:p w:rsidR="00DB167B" w:rsidRDefault="00DB167B">
    <w:pPr>
      <w:pStyle w:val="Alatunniste"/>
    </w:pPr>
  </w:p>
  <w:p w:rsidR="00DB167B" w:rsidRDefault="00DB167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C3" w:rsidRDefault="006330C3">
      <w:r>
        <w:separator/>
      </w:r>
    </w:p>
  </w:footnote>
  <w:footnote w:type="continuationSeparator" w:id="0">
    <w:p w:rsidR="006330C3" w:rsidRDefault="0063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B" w:rsidRDefault="006330C3">
    <w:pPr>
      <w:pStyle w:val="Yltunnis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5602" o:spid="_x0000_s205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SYKE_tyotodistus_pohjakuv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B" w:rsidRDefault="006330C3">
    <w:pPr>
      <w:pStyle w:val="Yltunnis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5603" o:spid="_x0000_s2057" type="#_x0000_t75" style="position:absolute;margin-left:-57.75pt;margin-top:-41.1pt;width:595.45pt;height:841.9pt;z-index:-251655168;mso-position-horizontal-relative:margin;mso-position-vertical:absolute;mso-position-vertical-relative:margin" o:allowincell="f">
          <v:imagedata r:id="rId1" o:title="SYKE_tyotodistus_pohjakuva_2018"/>
          <w10:wrap anchorx="margin" anchory="margin"/>
          <w10:anchorlock/>
        </v:shape>
      </w:pict>
    </w:r>
    <w:r w:rsidR="00DB167B">
      <w:tab/>
    </w:r>
    <w:r w:rsidR="00DB167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B" w:rsidRDefault="006330C3">
    <w:pPr>
      <w:pStyle w:val="Yltunnis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5601" o:spid="_x0000_s205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YKE_tyotodistus_pohjakuva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0FA"/>
    <w:multiLevelType w:val="hybridMultilevel"/>
    <w:tmpl w:val="368CE5AA"/>
    <w:lvl w:ilvl="0" w:tplc="DE5E7A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8E68FF"/>
    <w:multiLevelType w:val="hybridMultilevel"/>
    <w:tmpl w:val="82BE19D0"/>
    <w:lvl w:ilvl="0" w:tplc="522E1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25B6"/>
    <w:multiLevelType w:val="hybridMultilevel"/>
    <w:tmpl w:val="93D2524A"/>
    <w:lvl w:ilvl="0" w:tplc="040B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B"/>
    <w:rsid w:val="000D3FB1"/>
    <w:rsid w:val="001378F1"/>
    <w:rsid w:val="002506A7"/>
    <w:rsid w:val="006330C3"/>
    <w:rsid w:val="006634D8"/>
    <w:rsid w:val="00684D98"/>
    <w:rsid w:val="00B60BB3"/>
    <w:rsid w:val="00D52A1F"/>
    <w:rsid w:val="00D55785"/>
    <w:rsid w:val="00DB167B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DB167B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B167B"/>
  </w:style>
  <w:style w:type="paragraph" w:styleId="Alatunniste">
    <w:name w:val="footer"/>
    <w:basedOn w:val="Normaali"/>
    <w:link w:val="AlatunnisteChar"/>
    <w:uiPriority w:val="99"/>
    <w:unhideWhenUsed/>
    <w:rsid w:val="00DB167B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B167B"/>
  </w:style>
  <w:style w:type="character" w:styleId="Hyperlinkki">
    <w:name w:val="Hyperlink"/>
    <w:basedOn w:val="Kappaleenoletusfontti"/>
    <w:uiPriority w:val="99"/>
    <w:unhideWhenUsed/>
    <w:rsid w:val="00DB167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B167B"/>
    <w:pPr>
      <w:ind w:left="720"/>
      <w:contextualSpacing/>
    </w:pPr>
  </w:style>
  <w:style w:type="paragraph" w:customStyle="1" w:styleId="Default">
    <w:name w:val="Default"/>
    <w:rsid w:val="00DB16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167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DB167B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B167B"/>
  </w:style>
  <w:style w:type="paragraph" w:styleId="Alatunniste">
    <w:name w:val="footer"/>
    <w:basedOn w:val="Normaali"/>
    <w:link w:val="AlatunnisteChar"/>
    <w:uiPriority w:val="99"/>
    <w:unhideWhenUsed/>
    <w:rsid w:val="00DB167B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B167B"/>
  </w:style>
  <w:style w:type="character" w:styleId="Hyperlinkki">
    <w:name w:val="Hyperlink"/>
    <w:basedOn w:val="Kappaleenoletusfontti"/>
    <w:uiPriority w:val="99"/>
    <w:unhideWhenUsed/>
    <w:rsid w:val="00DB167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B167B"/>
    <w:pPr>
      <w:ind w:left="720"/>
      <w:contextualSpacing/>
    </w:pPr>
  </w:style>
  <w:style w:type="paragraph" w:customStyle="1" w:styleId="Default">
    <w:name w:val="Default"/>
    <w:rsid w:val="00DB16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167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ErY9AznT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at.fi/tup/khkinv/khkaasut_raportointi_e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uke.fi/sompa/2019/05/15/keskustelutilaisuus-6-6-2019-metsanielut-ilmastopolitiikassa-lulucf-asetuksen-toimeenpano-tulevaisu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kuri.luke.fi/handle/10024/5362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Sampo Soimakallio</dc:creator>
  <cp:lastModifiedBy>Rantajärvi Leena</cp:lastModifiedBy>
  <cp:revision>2</cp:revision>
  <dcterms:created xsi:type="dcterms:W3CDTF">2019-11-28T11:24:00Z</dcterms:created>
  <dcterms:modified xsi:type="dcterms:W3CDTF">2019-11-28T11:24:00Z</dcterms:modified>
</cp:coreProperties>
</file>